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318" w:rsidRPr="00B0151D" w:rsidRDefault="003C0318" w:rsidP="003C0318">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B0151D">
        <w:rPr>
          <w:rFonts w:ascii="Arial" w:eastAsia="Times New Roman" w:hAnsi="Arial" w:cs="Arial"/>
          <w:b/>
          <w:bCs/>
          <w:caps/>
          <w:color w:val="414145"/>
          <w:sz w:val="27"/>
          <w:szCs w:val="27"/>
          <w:lang w:eastAsia="hr-HR"/>
        </w:rPr>
        <w:t>PRAVILNIK O ELEMENTIMA I KRITERIJIMA ZA IZBOR KANDIDATA ZA UPIS U I. RAZRED SREDNJE ŠKOLE</w:t>
      </w:r>
    </w:p>
    <w:p w:rsidR="003C0318" w:rsidRPr="00B0151D" w:rsidRDefault="003C0318" w:rsidP="003C0318">
      <w:pPr>
        <w:spacing w:after="135" w:line="240" w:lineRule="auto"/>
        <w:jc w:val="center"/>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Pročišćeni tekst</w:t>
      </w:r>
    </w:p>
    <w:p w:rsidR="003C0318" w:rsidRPr="00B0151D" w:rsidRDefault="003C0318" w:rsidP="003C0318">
      <w:pPr>
        <w:spacing w:after="135" w:line="240" w:lineRule="auto"/>
        <w:jc w:val="center"/>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NN </w:t>
      </w:r>
      <w:hyperlink r:id="rId4" w:history="1">
        <w:r w:rsidRPr="00B0151D">
          <w:rPr>
            <w:rFonts w:ascii="Arial" w:eastAsia="Times New Roman" w:hAnsi="Arial" w:cs="Arial"/>
            <w:b/>
            <w:bCs/>
            <w:color w:val="497FD7"/>
            <w:sz w:val="21"/>
            <w:szCs w:val="21"/>
            <w:lang w:eastAsia="hr-HR"/>
          </w:rPr>
          <w:t>49/15</w:t>
        </w:r>
      </w:hyperlink>
      <w:r w:rsidRPr="00B0151D">
        <w:rPr>
          <w:rFonts w:ascii="Arial" w:eastAsia="Times New Roman" w:hAnsi="Arial" w:cs="Arial"/>
          <w:color w:val="414145"/>
          <w:sz w:val="21"/>
          <w:szCs w:val="21"/>
          <w:lang w:eastAsia="hr-HR"/>
        </w:rPr>
        <w:t>, </w:t>
      </w:r>
      <w:hyperlink r:id="rId5" w:history="1">
        <w:r w:rsidRPr="00B0151D">
          <w:rPr>
            <w:rFonts w:ascii="Arial" w:eastAsia="Times New Roman" w:hAnsi="Arial" w:cs="Arial"/>
            <w:b/>
            <w:bCs/>
            <w:color w:val="497FD7"/>
            <w:sz w:val="21"/>
            <w:szCs w:val="21"/>
            <w:lang w:eastAsia="hr-HR"/>
          </w:rPr>
          <w:t>109/16</w:t>
        </w:r>
      </w:hyperlink>
      <w:r w:rsidRPr="00B0151D">
        <w:rPr>
          <w:rFonts w:ascii="Arial" w:eastAsia="Times New Roman" w:hAnsi="Arial" w:cs="Arial"/>
          <w:color w:val="414145"/>
          <w:sz w:val="21"/>
          <w:szCs w:val="21"/>
          <w:lang w:eastAsia="hr-HR"/>
        </w:rPr>
        <w:t>, </w:t>
      </w:r>
      <w:hyperlink r:id="rId6" w:history="1">
        <w:r w:rsidRPr="00B0151D">
          <w:rPr>
            <w:rFonts w:ascii="Arial" w:eastAsia="Times New Roman" w:hAnsi="Arial" w:cs="Arial"/>
            <w:b/>
            <w:bCs/>
            <w:color w:val="497FD7"/>
            <w:sz w:val="21"/>
            <w:szCs w:val="21"/>
            <w:lang w:eastAsia="hr-HR"/>
          </w:rPr>
          <w:t>47/17</w:t>
        </w:r>
      </w:hyperlink>
      <w:r w:rsidRPr="00B0151D">
        <w:rPr>
          <w:rFonts w:ascii="Arial" w:eastAsia="Times New Roman" w:hAnsi="Arial" w:cs="Arial"/>
          <w:color w:val="414145"/>
          <w:sz w:val="21"/>
          <w:szCs w:val="21"/>
          <w:lang w:eastAsia="hr-HR"/>
        </w:rPr>
        <w:t>, </w:t>
      </w:r>
      <w:hyperlink r:id="rId7" w:history="1">
        <w:r w:rsidRPr="00B0151D">
          <w:rPr>
            <w:rFonts w:ascii="Arial" w:eastAsia="Times New Roman" w:hAnsi="Arial" w:cs="Arial"/>
            <w:b/>
            <w:bCs/>
            <w:color w:val="497FD7"/>
            <w:sz w:val="21"/>
            <w:szCs w:val="21"/>
            <w:lang w:eastAsia="hr-HR"/>
          </w:rPr>
          <w:t>39/22</w:t>
        </w:r>
      </w:hyperlink>
    </w:p>
    <w:p w:rsidR="003C0318" w:rsidRPr="00B0151D" w:rsidRDefault="003C0318" w:rsidP="003C0318">
      <w:pPr>
        <w:spacing w:after="135" w:line="240" w:lineRule="auto"/>
        <w:jc w:val="center"/>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I. OPĆE ODREDBE</w:t>
      </w:r>
    </w:p>
    <w:p w:rsidR="003C0318" w:rsidRPr="00B0151D" w:rsidRDefault="003C0318" w:rsidP="003C0318">
      <w:pPr>
        <w:spacing w:after="135" w:line="240" w:lineRule="auto"/>
        <w:jc w:val="center"/>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Članak 1.</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(1) Ovim pravilnikom utvrđuju se zajednički, dodatni i posebni elementi i kriteriji za izbor kandidata za upis u I. razred srednje škole u Republici Hrvatskoj.</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(2) Izrazi koji se koriste u ovom pravilniku, a koji imaju rodno značenje, bez obzira na to jesu li korišteni u muškome ili ženskome rodu, obuhvaćaju na jednak način i muški i ženski rod.</w:t>
      </w:r>
    </w:p>
    <w:p w:rsidR="003C0318" w:rsidRPr="00B0151D" w:rsidRDefault="003C0318" w:rsidP="003C0318">
      <w:pPr>
        <w:spacing w:after="135" w:line="240" w:lineRule="auto"/>
        <w:jc w:val="center"/>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Članak 2.</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(2) Pod jednakim uvjetima u srednje škole upisuju se kandidati hrvatski državljani, Hrvati iz drugih država te djeca državljana iz država članica Europske unije.</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(4) Dobne granice za upis kandidata u pojedine programe srednjega umjetničkog obrazovanja propisane su zakonom koji uređuje umjetničko obrazovanje.</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(5) Prijave i upis kandidata u prve razrede srednjih škola provode se putem Nacionalnog informacijskog sustava prijava i upisa u srednje škole (</w:t>
      </w:r>
      <w:proofErr w:type="spellStart"/>
      <w:r w:rsidRPr="00B0151D">
        <w:rPr>
          <w:rFonts w:ascii="Arial" w:eastAsia="Times New Roman" w:hAnsi="Arial" w:cs="Arial"/>
          <w:color w:val="414145"/>
          <w:sz w:val="21"/>
          <w:szCs w:val="21"/>
          <w:lang w:eastAsia="hr-HR"/>
        </w:rPr>
        <w:t>NISpuSŠ</w:t>
      </w:r>
      <w:proofErr w:type="spellEnd"/>
      <w:r w:rsidRPr="00B0151D">
        <w:rPr>
          <w:rFonts w:ascii="Arial" w:eastAsia="Times New Roman" w:hAnsi="Arial" w:cs="Arial"/>
          <w:color w:val="414145"/>
          <w:sz w:val="21"/>
          <w:szCs w:val="21"/>
          <w:lang w:eastAsia="hr-HR"/>
        </w:rPr>
        <w:t>), osim u posebnim slučajevima propisanim odlukom o upisu iz stavka 1. ovoga članka.</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(6) U svakome upisnom roku kandidat može prijaviti najviše 6 odabira programa obrazovanja.</w:t>
      </w:r>
    </w:p>
    <w:p w:rsidR="003C0318" w:rsidRPr="00B0151D" w:rsidRDefault="003C0318" w:rsidP="003C0318">
      <w:pPr>
        <w:spacing w:after="135" w:line="240" w:lineRule="auto"/>
        <w:jc w:val="center"/>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Članak 3. (NN </w:t>
      </w:r>
      <w:hyperlink r:id="rId8" w:history="1">
        <w:r w:rsidRPr="00B0151D">
          <w:rPr>
            <w:rFonts w:ascii="Arial" w:eastAsia="Times New Roman" w:hAnsi="Arial" w:cs="Arial"/>
            <w:b/>
            <w:bCs/>
            <w:color w:val="497FD7"/>
            <w:sz w:val="21"/>
            <w:szCs w:val="21"/>
            <w:lang w:eastAsia="hr-HR"/>
          </w:rPr>
          <w:t>39/22</w:t>
        </w:r>
      </w:hyperlink>
      <w:r w:rsidRPr="00B0151D">
        <w:rPr>
          <w:rFonts w:ascii="Arial" w:eastAsia="Times New Roman" w:hAnsi="Arial" w:cs="Arial"/>
          <w:color w:val="414145"/>
          <w:sz w:val="21"/>
          <w:szCs w:val="21"/>
          <w:lang w:eastAsia="hr-HR"/>
        </w:rPr>
        <w:t>)</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(1) Kandidat koji je strani državljanin iz zemlje izvan Europskog gospodarskog prostora i Švicarske Konfederacije može se upisati u srednju školu kao redoviti učenik bez plaćanja troškova školovanja ako ispunjava jedan od sljedećih uvjeta:</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1. ako za to postoji međudržavni ugovor ili osoba sudjeluje u priznatom državnom ili regionalnom obrazovnom programu razmjene učenika koje je odobrilo ministarstvo nadležno za obrazovanje ili u obrazovnom projektu koji vodi obrazovna ustanova</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2. 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3. ako je roditelj ili skrbnik te osobe diplomatski predstavnik strane države u Hrvatskoj;</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4. ako je takva osoba ili roditelj ili skrbnik te osobe azilant ili tražitelj međunarodne zaštite;</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5. ako je takva osoba ili roditelj ili skrbnik te osobe stranac pod supsidijarnom zaštitom ili stranac pod privremenom zaštitom.</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(2) Kandidat strani državljanin iz zemalja izvan Europskog gospodarskog prostora i Švicarske Konfederacije, a koji ne ispunjava ni jedan od uvjeta iz stavka 1. ovoga članka, može se upisati u srednju školu kao redoviti učenik uz obvezu plaćanja troškova školarine, ako ima reguliran status boravka sukladno zakonu kojim je uređen status stranaca.</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(3) Odluku o godišnjim troškovima školovanja učenika iz stavka 2. ovoga članka donosi osnivač školske ustanove na prijedlog školskoga odbora.</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(4) Iznimno od stavka 2. ovoga članka, osnivač može, na prijedlog školskoga odbora, donijeti odluku kojom učenika oslobađa obveze plaćanja troškova školarine.</w:t>
      </w:r>
    </w:p>
    <w:p w:rsidR="003C0318" w:rsidRPr="00B0151D" w:rsidRDefault="003C0318" w:rsidP="003C0318">
      <w:pPr>
        <w:spacing w:after="135" w:line="240" w:lineRule="auto"/>
        <w:jc w:val="center"/>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lastRenderedPageBreak/>
        <w:t>Članak 4.</w:t>
      </w:r>
    </w:p>
    <w:p w:rsidR="003C0318" w:rsidRPr="00B0151D"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B0151D">
        <w:rPr>
          <w:rFonts w:ascii="Arial" w:eastAsia="Times New Roman" w:hAnsi="Arial" w:cs="Arial"/>
          <w:color w:val="414145"/>
          <w:sz w:val="21"/>
          <w:szCs w:val="21"/>
          <w:lang w:eastAsia="hr-HR"/>
        </w:rPr>
        <w:t>(2) Provjeru znanja iz stavka 1. ovoga članka provodi stručno povjerenstvo srednje škole u koju se kandidat upisuje, o čemu sastavlja zapisnik.</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Provjeru znanja iz stavka 1. ovoga članka kandidat polaže u jednoj školi i rezultati provjere vrijede za prijavu u druge škole koje uvjetuju znanje istoga stranog jezika.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5. (NN </w:t>
      </w:r>
      <w:hyperlink r:id="rId9"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Elementi i kriteriji za upis kandidata u I. razred srednje škole propisani ovim pravilnikom koriste se i za upis u međunarodne programe.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Odluku o troškovima školovanja u međunarodnim programima donosi školski odbor uz suglasnost osnivača.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Za upis u međunarodne programe može se provoditi provjera znanja koju propisuje i provodi škola, osim za kandidate iz stavka 2. ovoga članka.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Provjera znanja iz stavka 4. ovoga članka nije eliminacijska.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II. ELEMENTI VREDNOVANJA I UTVRĐIVANJE UKUPNOGA REZULTATA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6. (NN </w:t>
      </w:r>
      <w:hyperlink r:id="rId10"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Za upis u I. razred srednje škole prijavljenom kandidatu vrednuju se zajednički, dodatan i poseban element.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Iznimno od stavka 2. ovoga članka, pri utvrđivanju ljestvice poretka kandidatima pripadnicima romske nacionalne manjine i kandidatima bez roditelja/skrbnika ili odgovarajuće roditeljske skrbi uz zajednički i dodatni element vrednovanja boduje se i element vrednovanja sukladno članku 21. ovoga Pravilnika.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Ako dva ili više kandidata na zadnjem mjestu ljestvice poretka imaju isti ukupan broj bodova na temelju stavka 2. i 3. ovoga članka, kandidati se upisuju u skladu s člancima 9., 10., 11., 12. i 14. ovoga Pravilnika.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Ako dva ili više kandidata na zadnjem mjestu ljestvice poretka imaju isti ukupan broj bodova na temelju stavaka 2., 3. i 4. ovoga članka upisuje se kandidat koji ostvaruje pravo na poseban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(6) Iznimno od stavka 5. ovoga članka, ako dva ili više kandidata na zadnjem mjestu ljestvice poretka imaju isti ukupan broj bodova na temelju stavaka 2., 3. i 4. ovoga članka i ostvaruju pravo na poseban element vrednovanja upisuju se svi kandidati..</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III. ZAJEDNIČKI ELEMENT VREDNOVANJA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7.</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Zajednički element vrednovanja za upis kandidata u sve srednjoškolske programe obrazovanja čine prosjeci zaključnih ocjena iz svih nastavnih predmeta na dvije decimale u posljednja četiri razreda osnovnog obrazovanja.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Na takav način moguće je steći najviše 20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Za upis kandidata u programe obrazovanja za stjecanje strukovne kvalifikacije u trajanju manjem od tri godine vrednuje se zajednički element iz stavka 1. ovoga članka.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Na takav način moguće je steći najviše 50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xml:space="preserve">(4) Za upis kandidata u gimnazijske programe i programe obrazovanja za stjecanje strukovne kvalifikacije u trajanju od najmanje četiri godine, uz element iz stavka 1. ovoga članka vrednuju se i zaključne ocjene u </w:t>
      </w:r>
      <w:r w:rsidRPr="003C0318">
        <w:rPr>
          <w:rFonts w:ascii="Arial" w:eastAsia="Times New Roman" w:hAnsi="Arial" w:cs="Arial"/>
          <w:color w:val="414145"/>
          <w:sz w:val="21"/>
          <w:szCs w:val="21"/>
          <w:lang w:eastAsia="hr-HR"/>
        </w:rPr>
        <w:lastRenderedPageBreak/>
        <w:t>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Na takav način moguće je steći najviše 80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IV. DODATNI ELEMENT VREDNOVANJA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8.</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Dodatni element vrednovanja čine sposobnosti, darovitosti i znanja kandidata.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Sposobnosti, darovitosti i znanja kandidata dokazuju se i vrednuju:</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na osnovi provjere (ispitivanja) posebnih znanja, vještina, sposobnosti i darovitosti;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na osnovi rezultata postignutih na natjecanjima u znanju;</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na osnovi rezultata postignutih na natjecanjima školskih sportskih društava.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Provjera posebnih znanja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9. (NN </w:t>
      </w:r>
      <w:hyperlink r:id="rId11"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Brisan</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Za provedbu provjere iz stavka 1. ovoga članka srednje škole moraju Ministarstvu uputiti zahtjev te ishoditi suglasnost.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Zahtjev za suglasnost iz stavka 3. ovoga članka srednje škole dostavljaju Ministarstvu najkasnije do 31. ožujka tekuće školske godine, a za upis u narednu školsku godinu.</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Na temelju provjera iz stavka 1. ovoga članka kandidat može ostvariti najviše 10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(6) Provjera iz stavka 1. ovoga članka nije eliminacijska.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(7) Ako dva ili više kandidata na zadnjem mjestu ljestvice poretka imaju isti ukupan broj bodova iz zajedničko i dodatnog elementa vrednovanja upisuje se onaj kandidat koji je ostvario veći broj bodova iz provjere posebnih znanja.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(10) Kandidati s teškoćama u razvoju koji imaju rješenje o primjerenome programu obrazovanja, a koji pristupaju provjeri posebnih znanja iz stavka 1. ovoga članka, imaju pravo na prilagodbu ispitne tehnologije.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radi upisa u programe likovne umjetnosti i dizajna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10. (NN </w:t>
      </w:r>
      <w:hyperlink r:id="rId12"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Za upis kandidata u programe likovne umjetnosti i dizajna provjerava se darovitost kandidata za likovno izražavanje jednom od likovnih tehnika koju određuje srednja škola. Navedenom provjerom moguće je ostvariti najviše 120 bodova, a minimalni bodovni prag na navedenoj provjeri je 70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Konačna ljestvica poretka kandidata utvrđuje se zbrajanjem bodova dobivenih provjerom darovitosti za likovno izražavanje i zajedničkog i dodatnog elementa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lastRenderedPageBreak/>
        <w:t>(3) Ako dva ili više kandidata na zadnjem mjestu ljestvice poretka imaju isti ukupan broj bodova, upisuje se onaj kandidat koji je ostvario veći broj bodova iz provjere darovitosti za likovno izražavanje.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radi upisa u programe glazbene umjetnosti</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11. (NN </w:t>
      </w:r>
      <w:hyperlink r:id="rId13"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Kandidatu koji je uspješno završio osnovno glazbeno obrazovanje ili drugi (II.) pripremni razred srednje glazbene škole za upis u I. razred četverogodišnjega srednjega glazbenog programa vrednuju se: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zajednički i dodatni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postignuti opći uspjeh iz petoga i šestoga razreda glazbene škole ili dva razreda pripremnoga obrazovanja;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konačni rezultati ostvareni na prijamnome ispitu glazbene darovitosti.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xml:space="preserve">(2) Prijamni ispit za instrumentaliste i pjevače obuhvaća provjeru iz temeljnoga predmeta struke i </w:t>
      </w:r>
      <w:proofErr w:type="spellStart"/>
      <w:r w:rsidRPr="003C0318">
        <w:rPr>
          <w:rFonts w:ascii="Arial" w:eastAsia="Times New Roman" w:hAnsi="Arial" w:cs="Arial"/>
          <w:color w:val="414145"/>
          <w:sz w:val="21"/>
          <w:szCs w:val="21"/>
          <w:lang w:eastAsia="hr-HR"/>
        </w:rPr>
        <w:t>solfeggia</w:t>
      </w:r>
      <w:proofErr w:type="spellEnd"/>
      <w:r w:rsidRPr="003C0318">
        <w:rPr>
          <w:rFonts w:ascii="Arial" w:eastAsia="Times New Roman" w:hAnsi="Arial" w:cs="Arial"/>
          <w:color w:val="414145"/>
          <w:sz w:val="21"/>
          <w:szCs w:val="21"/>
          <w:lang w:eastAsia="hr-HR"/>
        </w:rPr>
        <w:t xml:space="preserve">, za teoretičara provjeru iz klavira i </w:t>
      </w:r>
      <w:proofErr w:type="spellStart"/>
      <w:r w:rsidRPr="003C0318">
        <w:rPr>
          <w:rFonts w:ascii="Arial" w:eastAsia="Times New Roman" w:hAnsi="Arial" w:cs="Arial"/>
          <w:color w:val="414145"/>
          <w:sz w:val="21"/>
          <w:szCs w:val="21"/>
          <w:lang w:eastAsia="hr-HR"/>
        </w:rPr>
        <w:t>solfeggia</w:t>
      </w:r>
      <w:proofErr w:type="spellEnd"/>
      <w:r w:rsidRPr="003C0318">
        <w:rPr>
          <w:rFonts w:ascii="Arial" w:eastAsia="Times New Roman" w:hAnsi="Arial" w:cs="Arial"/>
          <w:color w:val="414145"/>
          <w:sz w:val="21"/>
          <w:szCs w:val="21"/>
          <w:lang w:eastAsia="hr-HR"/>
        </w:rPr>
        <w:t xml:space="preserve">, a za graditelja i restauratora glazbala provjeru </w:t>
      </w:r>
      <w:proofErr w:type="spellStart"/>
      <w:r w:rsidRPr="003C0318">
        <w:rPr>
          <w:rFonts w:ascii="Arial" w:eastAsia="Times New Roman" w:hAnsi="Arial" w:cs="Arial"/>
          <w:color w:val="414145"/>
          <w:sz w:val="21"/>
          <w:szCs w:val="21"/>
          <w:lang w:eastAsia="hr-HR"/>
        </w:rPr>
        <w:t>solfeggia</w:t>
      </w:r>
      <w:proofErr w:type="spellEnd"/>
      <w:r w:rsidRPr="003C0318">
        <w:rPr>
          <w:rFonts w:ascii="Arial" w:eastAsia="Times New Roman" w:hAnsi="Arial" w:cs="Arial"/>
          <w:color w:val="414145"/>
          <w:sz w:val="21"/>
          <w:szCs w:val="21"/>
          <w:lang w:eastAsia="hr-HR"/>
        </w:rPr>
        <w:t xml:space="preserve"> i ocjenu priloženog rada (izgrađeno glazbalo). Na temelju prijamnoga ispita moguće je steći najviše 170 bodova, a minimalni prag na prijamnome ispitu je 70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xml:space="preserve">(3) Ako dva ili više kandidata na zadnjem mjestu ljestvice </w:t>
      </w:r>
      <w:proofErr w:type="spellStart"/>
      <w:r w:rsidRPr="003C0318">
        <w:rPr>
          <w:rFonts w:ascii="Arial" w:eastAsia="Times New Roman" w:hAnsi="Arial" w:cs="Arial"/>
          <w:color w:val="414145"/>
          <w:sz w:val="21"/>
          <w:szCs w:val="21"/>
          <w:lang w:eastAsia="hr-HR"/>
        </w:rPr>
        <w:t>poretkaimaju</w:t>
      </w:r>
      <w:proofErr w:type="spellEnd"/>
      <w:r w:rsidRPr="003C0318">
        <w:rPr>
          <w:rFonts w:ascii="Arial" w:eastAsia="Times New Roman" w:hAnsi="Arial" w:cs="Arial"/>
          <w:color w:val="414145"/>
          <w:sz w:val="21"/>
          <w:szCs w:val="21"/>
          <w:lang w:eastAsia="hr-HR"/>
        </w:rPr>
        <w:t xml:space="preserve"> isti ukupan broj bodova, upisuje se onaj kandidat koji je ostvario veći broj bodova na prijamnome ispitu glazbene darovitosti.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(6)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za upis u programe plesne umjetnosti</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12. (NN </w:t>
      </w:r>
      <w:hyperlink r:id="rId14"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Kandidatu koji je uspješno završio osnovno plesno odnosno baletno obrazovanje ili pripremni razred srednje plesne škole za upis u I. razred četverogodišnjega srednjega plesnog programa vrednuju se: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zajednički i dodatni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opći uspjeh iz četvrtoga razreda plesne odnosno baletne škole ili uspjeh iz pripremnoga razreda;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konačni rezultati ostvareni na prijamnome ispitu plesne darovitosti koji uključuje uspjeh iz glavnih plesnih predmeta koje utvrđuje škola i objavljuje u sklopu natječaja za upis.</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Na temelju prijamnoga ispita moguće je steći najviše 115 bodova, a minimalni prag na prijamnome ispitu je 70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Ako dva ili više kandidata na zadnjem mjestu ljestvice poretka imaju isti ukupan broj bodova, upisuje se onaj kandidat koji je ostvario veći broj bodova na prijamnome ispitu plesne darovitosti.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lastRenderedPageBreak/>
        <w:t>(6) Kandidat koji nije pohađao osnovnu plesnu školu upisuje pripremni razred srednje plesne škole nakon položenoga prijamnog ispita plesne darovitosti. Na prijamnome ispitu može se ostvariti najviše 120 bodova, a minimalni prag je 70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(7)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iznimno darovitih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13.</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za upis u razredne odjele za sportaše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14. (NN </w:t>
      </w:r>
      <w:hyperlink r:id="rId15"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Pravo prijave za upis u razredne odjele za sportaše ima kandidat koji je uvršten na rang-listu određenoga nacionalnoga sportskoga saveza.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Bodovanje za upis kandidata u I. razred razrednih odjela za sportaše provodi se na sljedeći način:</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maksimalan broj bodova koje kandidat za upis u ove programe može ostvariti na temelju kriterija sportske uspješnosti i uspjeha u prethodnom obrazovanju je 160;</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od navedenoga maksimalnog broja bodova, do 80 bodova kandidat ostvaruje na temelju kriterija sportske uspješnosti, prema izračunu opisanome u stavku 5. ovoga članka;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daljnjih najviše 80 bodova kandidat ostvaruje na temelju zajedničkoga elementa vrednovanja uspjeha u prethodnom školovanju.</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Konačna ljestvica poretka kandidata utvrđuje se zbrajanjem bodova dobivenih prema kriterijima sportske uspješnosti te zajedničkog i dodatnog elementa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Izračun broja bodova kandidata prema kriterijima sportske uspješnosti uzima u obzir sljedeće parametre: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položaj pojedinoga kandidata na rang-listi matičnoga nacionalnoga sportskog saveza;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ukupan broj kandidata na rang-listi matičnoga nacionalnoga sportskog saveza;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skupina u koju je pojedini sport razvrstan, sukladno odluci Povjerenstva za upis učenika u I. razred srednje škole u tekućoj školskoj godini za razredne odjele za sportaše.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rang-liste kandidata za svaki nacionalni sportski savez jedinstvene su u smislu da obuhvaćaju i ženske i muške kandidate.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Izračun broja bodova prema kriteriju sportske uspješnosti obavljat će se prema sljedećim izračunima:</w:t>
      </w:r>
    </w:p>
    <w:p w:rsidR="003C0318" w:rsidRPr="003C0318" w:rsidRDefault="003C0318" w:rsidP="003C0318">
      <w:pPr>
        <w:spacing w:after="0" w:line="240" w:lineRule="auto"/>
        <w:rPr>
          <w:rFonts w:ascii="Arial" w:eastAsia="Times New Roman" w:hAnsi="Arial" w:cs="Arial"/>
          <w:color w:val="414145"/>
          <w:sz w:val="21"/>
          <w:szCs w:val="21"/>
          <w:lang w:eastAsia="hr-HR"/>
        </w:rPr>
      </w:pPr>
      <w:r w:rsidRPr="003C0318">
        <w:rPr>
          <w:rFonts w:ascii="Arial" w:eastAsia="Times New Roman" w:hAnsi="Arial" w:cs="Arial"/>
          <w:noProof/>
          <w:color w:val="414145"/>
          <w:sz w:val="21"/>
          <w:szCs w:val="21"/>
          <w:lang w:eastAsia="hr-HR"/>
        </w:rPr>
        <w:drawing>
          <wp:inline distT="0" distB="0" distL="0" distR="0">
            <wp:extent cx="4762500" cy="1228725"/>
            <wp:effectExtent l="0" t="0" r="0" b="9525"/>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gdje je: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b                  konačan broj bodova pojedinačnoga kandidata na temelju kriterija sportske uspješnosti;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N[S]             ukupan broj svih kandidata na rang-listi nacionalnoga saveza za sport S;</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n                  mjesto u poretku pojedinačnoga kandidata na rang--listi odgovarajućega nacionalnog saveza;</w:t>
      </w:r>
    </w:p>
    <w:p w:rsidR="003C0318" w:rsidRPr="003C0318" w:rsidRDefault="003C0318" w:rsidP="003C0318">
      <w:pPr>
        <w:spacing w:after="135" w:line="240" w:lineRule="auto"/>
        <w:rPr>
          <w:rFonts w:ascii="Arial" w:eastAsia="Times New Roman" w:hAnsi="Arial" w:cs="Arial"/>
          <w:color w:val="414145"/>
          <w:sz w:val="21"/>
          <w:szCs w:val="21"/>
          <w:lang w:eastAsia="hr-HR"/>
        </w:rPr>
      </w:pPr>
      <w:proofErr w:type="spellStart"/>
      <w:r w:rsidRPr="003C0318">
        <w:rPr>
          <w:rFonts w:ascii="Arial" w:eastAsia="Times New Roman" w:hAnsi="Arial" w:cs="Arial"/>
          <w:color w:val="414145"/>
          <w:sz w:val="21"/>
          <w:szCs w:val="21"/>
          <w:lang w:eastAsia="hr-HR"/>
        </w:rPr>
        <w:lastRenderedPageBreak/>
        <w:t>Bmin</w:t>
      </w:r>
      <w:proofErr w:type="spellEnd"/>
      <w:r w:rsidRPr="003C0318">
        <w:rPr>
          <w:rFonts w:ascii="Arial" w:eastAsia="Times New Roman" w:hAnsi="Arial" w:cs="Arial"/>
          <w:color w:val="414145"/>
          <w:sz w:val="21"/>
          <w:szCs w:val="21"/>
          <w:lang w:eastAsia="hr-HR"/>
        </w:rPr>
        <w:t>            minimalan broj bodova za kandidate s rang-liste nacionalnoga saveza – smatra se da ga je kandidat                     automatski ostvario samim uvrštenjem na   rang-listu saveza – isti je za sve skupine sportova te iznosi 56 bodova;</w:t>
      </w:r>
    </w:p>
    <w:p w:rsidR="003C0318" w:rsidRPr="003C0318" w:rsidRDefault="003C0318" w:rsidP="003C0318">
      <w:pPr>
        <w:spacing w:after="135" w:line="240" w:lineRule="auto"/>
        <w:rPr>
          <w:rFonts w:ascii="Arial" w:eastAsia="Times New Roman" w:hAnsi="Arial" w:cs="Arial"/>
          <w:color w:val="414145"/>
          <w:sz w:val="21"/>
          <w:szCs w:val="21"/>
          <w:lang w:eastAsia="hr-HR"/>
        </w:rPr>
      </w:pPr>
      <w:proofErr w:type="spellStart"/>
      <w:r w:rsidRPr="003C0318">
        <w:rPr>
          <w:rFonts w:ascii="Arial" w:eastAsia="Times New Roman" w:hAnsi="Arial" w:cs="Arial"/>
          <w:color w:val="414145"/>
          <w:sz w:val="21"/>
          <w:szCs w:val="21"/>
          <w:lang w:eastAsia="hr-HR"/>
        </w:rPr>
        <w:t>Bmax</w:t>
      </w:r>
      <w:proofErr w:type="spellEnd"/>
      <w:r w:rsidRPr="003C0318">
        <w:rPr>
          <w:rFonts w:ascii="Arial" w:eastAsia="Times New Roman" w:hAnsi="Arial" w:cs="Arial"/>
          <w:color w:val="414145"/>
          <w:sz w:val="21"/>
          <w:szCs w:val="21"/>
          <w:lang w:eastAsia="hr-HR"/>
        </w:rPr>
        <w:t>[X]      maksimalan broj bodova za kandidate s rang-liste nacionalnoga saveza sporta iz skupine X – za prvu skupinu                     sportova (X = 1) iznosi 80 bodova, za drugu (X = 2) 72 boda, za treću (X = 3) 64 bodova;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xml:space="preserve">M[X]            najveći dopušteni ukupan broj kandidata s brojem bodova većim od </w:t>
      </w:r>
      <w:proofErr w:type="spellStart"/>
      <w:r w:rsidRPr="003C0318">
        <w:rPr>
          <w:rFonts w:ascii="Arial" w:eastAsia="Times New Roman" w:hAnsi="Arial" w:cs="Arial"/>
          <w:color w:val="414145"/>
          <w:sz w:val="21"/>
          <w:szCs w:val="21"/>
          <w:lang w:eastAsia="hr-HR"/>
        </w:rPr>
        <w:t>Bmin</w:t>
      </w:r>
      <w:proofErr w:type="spellEnd"/>
      <w:r w:rsidRPr="003C0318">
        <w:rPr>
          <w:rFonts w:ascii="Arial" w:eastAsia="Times New Roman" w:hAnsi="Arial" w:cs="Arial"/>
          <w:color w:val="414145"/>
          <w:sz w:val="21"/>
          <w:szCs w:val="21"/>
          <w:lang w:eastAsia="hr-HR"/>
        </w:rPr>
        <w:t xml:space="preserve"> za kandidate s rang-liste                     nacionalnoga saveza za sport iz skupine X – za prvu skupinu sportova (X = 1) iznosi 24 kandidata, za drugu                    (X = 2) 16 kandidata, za treću (X = 3) 8 kandidata.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(6) Ako dva ili više kandidata na zadnjem mjestu ljestvice poretka imaju isti ukupan broj bodova iz zajedničko i dodatnog elementa vrednovanja upisuje se onaj kandidat koji je ostvario veći broj bodova iz kriterija sportske uspješnosti.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rezultata kandidata postignutih na natjecanjima iz znanja i u sportu</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15.</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Kandidatu se na osnovi članaka 16. i 17. ovoga pravilnika vrednuje isključivo jedno (najpovoljnije) postignuće.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rezultata kandidata postignutih na natjecanjima iz znanja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16.</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Pravo na izravan upis ili dodatne bodove ostvaruju kandidati na osnovi rezultata koje su postigli na: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natjecanjima u znanju iz nastavnih predmeta: Hrvatskoga jezika, Matematike, prvoga stranog jezika;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natjecanjima u znanju iz dvaju nastavnih predmeta posebno značajnih za upis u skladu s Popisom predmeta posebno važnih za upis;</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jednome natjecanju iz znanja koji samostalno određuje srednja škola iz Kataloga natjecanja i smotri učenika i učenica osnovnih i srednjih škola Republike Hrvatske, a koja se provode u organizaciji Agencije za odgoj i obrazovanje.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tbl>
      <w:tblPr>
        <w:tblW w:w="0" w:type="auto"/>
        <w:tblCellMar>
          <w:left w:w="0" w:type="dxa"/>
          <w:right w:w="0" w:type="dxa"/>
        </w:tblCellMar>
        <w:tblLook w:val="04A0" w:firstRow="1" w:lastRow="0" w:firstColumn="1" w:lastColumn="0" w:noHBand="0" w:noVBand="1"/>
      </w:tblPr>
      <w:tblGrid>
        <w:gridCol w:w="2657"/>
        <w:gridCol w:w="3743"/>
        <w:gridCol w:w="4050"/>
      </w:tblGrid>
      <w:tr w:rsidR="003C0318" w:rsidRPr="003C0318" w:rsidTr="003C0318">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Državna/međunarodna natjecanja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Prvo, drugo ili treće osvojeno mjesto kao pojedinac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Izravan upis (pod uvjetom da zadovolje na ispitu sposobnosti i darovitosti u školama u kojima je to uvjet za upis)</w:t>
            </w:r>
          </w:p>
        </w:tc>
      </w:tr>
      <w:tr w:rsidR="003C0318" w:rsidRPr="003C0318" w:rsidTr="003C031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3C0318" w:rsidRPr="003C0318" w:rsidRDefault="003C0318" w:rsidP="003C031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Prvo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4 boda</w:t>
            </w:r>
          </w:p>
        </w:tc>
      </w:tr>
      <w:tr w:rsidR="003C0318" w:rsidRPr="003C0318" w:rsidTr="003C031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3C0318" w:rsidRPr="003C0318" w:rsidRDefault="003C0318" w:rsidP="003C031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Drugo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3 boda</w:t>
            </w:r>
          </w:p>
        </w:tc>
      </w:tr>
      <w:tr w:rsidR="003C0318" w:rsidRPr="003C0318" w:rsidTr="003C031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3C0318" w:rsidRPr="003C0318" w:rsidRDefault="003C0318" w:rsidP="003C031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Treće osvojeno mjesto kao član skupine u 5., 6., 7. ili 8. razredu osnovnog obrazovanja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2 boda</w:t>
            </w:r>
          </w:p>
        </w:tc>
      </w:tr>
      <w:tr w:rsidR="003C0318" w:rsidRPr="003C0318" w:rsidTr="003C031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3C0318" w:rsidRPr="003C0318" w:rsidRDefault="003C0318" w:rsidP="003C031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Sudjelovanje kao pojedinac ili član skupine u 5., 6., 7. ili 8. razredu</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1 bod</w:t>
            </w:r>
          </w:p>
        </w:tc>
      </w:tr>
    </w:tbl>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rezultata kandidata postignutih na sportskim natjecanjima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17.</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Pravo na dodatne bodove kandidati ostvaruju na temelju službene evidencije o rezultatima održanih natjecanja školskih sportskih društava koju vodi Hrvatski školski športski savez (HŠŠS).</w:t>
      </w:r>
    </w:p>
    <w:tbl>
      <w:tblPr>
        <w:tblW w:w="0" w:type="auto"/>
        <w:tblCellMar>
          <w:left w:w="0" w:type="dxa"/>
          <w:right w:w="0" w:type="dxa"/>
        </w:tblCellMar>
        <w:tblLook w:val="04A0" w:firstRow="1" w:lastRow="0" w:firstColumn="1" w:lastColumn="0" w:noHBand="0" w:noVBand="1"/>
      </w:tblPr>
      <w:tblGrid>
        <w:gridCol w:w="3292"/>
        <w:gridCol w:w="6371"/>
        <w:gridCol w:w="787"/>
      </w:tblGrid>
      <w:tr w:rsidR="003C0318" w:rsidRPr="003C0318" w:rsidTr="003C0318">
        <w:tc>
          <w:tcPr>
            <w:tcW w:w="0" w:type="auto"/>
            <w:vMerge w:val="restart"/>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Natjecanja školskih sportskih društava</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Učenici koji su na državnom natjecanju kao članovi ekipe osvojili prvo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3 boda</w:t>
            </w:r>
          </w:p>
        </w:tc>
      </w:tr>
      <w:tr w:rsidR="003C0318" w:rsidRPr="003C0318" w:rsidTr="003C031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3C0318" w:rsidRPr="003C0318" w:rsidRDefault="003C0318" w:rsidP="003C031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Učenici koji su na državnom natjecanju kao članovi ekipe osvojili drugo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2 boda</w:t>
            </w:r>
          </w:p>
        </w:tc>
      </w:tr>
      <w:tr w:rsidR="003C0318" w:rsidRPr="003C0318" w:rsidTr="003C0318">
        <w:tc>
          <w:tcPr>
            <w:tcW w:w="0" w:type="auto"/>
            <w:vMerge/>
            <w:tcBorders>
              <w:top w:val="single" w:sz="6" w:space="0" w:color="999999"/>
              <w:left w:val="single" w:sz="6" w:space="0" w:color="999999"/>
              <w:bottom w:val="single" w:sz="6" w:space="0" w:color="999999"/>
              <w:right w:val="single" w:sz="6" w:space="0" w:color="999999"/>
            </w:tcBorders>
            <w:vAlign w:val="center"/>
            <w:hideMark/>
          </w:tcPr>
          <w:p w:rsidR="003C0318" w:rsidRPr="003C0318" w:rsidRDefault="003C0318" w:rsidP="003C0318">
            <w:pPr>
              <w:spacing w:after="0" w:line="240" w:lineRule="auto"/>
              <w:rPr>
                <w:rFonts w:ascii="Times New Roman" w:eastAsia="Times New Roman" w:hAnsi="Times New Roman" w:cs="Times New Roman"/>
                <w:sz w:val="24"/>
                <w:szCs w:val="24"/>
                <w:lang w:eastAsia="hr-HR"/>
              </w:rPr>
            </w:pP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Učenici koji su na državnom natjecanju kao članovi ekipe osvojili treće mjesto</w:t>
            </w:r>
          </w:p>
        </w:tc>
        <w:tc>
          <w:tcPr>
            <w:tcW w:w="0" w:type="auto"/>
            <w:tcBorders>
              <w:top w:val="single" w:sz="6" w:space="0" w:color="999999"/>
              <w:left w:val="single" w:sz="6" w:space="0" w:color="999999"/>
              <w:bottom w:val="single" w:sz="6" w:space="0" w:color="999999"/>
              <w:right w:val="single" w:sz="6" w:space="0" w:color="999999"/>
            </w:tcBorders>
            <w:tcMar>
              <w:top w:w="90" w:type="dxa"/>
              <w:left w:w="90" w:type="dxa"/>
              <w:bottom w:w="90" w:type="dxa"/>
              <w:right w:w="90" w:type="dxa"/>
            </w:tcMar>
            <w:vAlign w:val="center"/>
            <w:hideMark/>
          </w:tcPr>
          <w:p w:rsidR="003C0318" w:rsidRPr="003C0318" w:rsidRDefault="003C0318" w:rsidP="003C0318">
            <w:pPr>
              <w:spacing w:after="135" w:line="240" w:lineRule="auto"/>
              <w:rPr>
                <w:rFonts w:ascii="Times New Roman" w:eastAsia="Times New Roman" w:hAnsi="Times New Roman" w:cs="Times New Roman"/>
                <w:sz w:val="24"/>
                <w:szCs w:val="24"/>
                <w:lang w:eastAsia="hr-HR"/>
              </w:rPr>
            </w:pPr>
            <w:r w:rsidRPr="003C0318">
              <w:rPr>
                <w:rFonts w:ascii="Times New Roman" w:eastAsia="Times New Roman" w:hAnsi="Times New Roman" w:cs="Times New Roman"/>
                <w:sz w:val="24"/>
                <w:szCs w:val="24"/>
                <w:lang w:eastAsia="hr-HR"/>
              </w:rPr>
              <w:t>1 bod</w:t>
            </w:r>
          </w:p>
        </w:tc>
      </w:tr>
    </w:tbl>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 POSEBAN ELEMENT VREDNOVANJA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18. (NN </w:t>
      </w:r>
      <w:hyperlink r:id="rId17"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Kandidat ostvaruje pravo na poseban element vrednovanja ako:</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ima zdravstvene teškoće;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živi u otežanim uvjetima obrazovanja uzrokovanim nepovoljnim ekonomskim, socijalnim te odgojnim čimbenicima.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kandidata sa zdravstvenim teškoćama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19. (NN </w:t>
      </w:r>
      <w:hyperlink r:id="rId18"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Kandidat sa zdravstvenim teškoćama je kandidat koji je osnovno obrazovanje završio po redovitome nastavnom planu i programu, a kojem su zdravstvene teškoće mogle utjecati na postizanje rezultata tijekom prethodnog razdoblja.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Brisan.</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Za ostvarivanje prava na poseban element vrednovanja kandidat iz stavka 1. ovoga članka obvezno prilaže: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stručno mišljenje Službe za profesionalno usmjeravanje Hrvatskoga zavoda za zapošljavanje o sposobnostima i motivaciji učenika za, u pravilu šest,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zdravstvenim teškoćama koje su mogle utjecati na postizanje rezultata tijekom prethodnog obrazovanja, prema stručno usuglašenoj metodologiji te obrade multidisciplinarnog tima Hrvatskoga zavoda za zapošljavanje.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kandidata koji žive u otežanim uvjetima obrazovanja uzrokovanim nepovoljnim ekonomskim, socijalnim te odgojnim čimbenicima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20. (NN </w:t>
      </w:r>
      <w:hyperlink r:id="rId19"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Brisan.</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Kandidat živi u otežanim uvjetima obrazovanja uzrokovanim ekonomskim, socijalnim te odgojnim čimbenicima, a koji su mogli utjecati na njegov školski uspjeh u osnovnoj školi ako:</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živi uz jednoga i/ili oba roditelja/skrbnika s dugotrajnom teškom bolesti;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živi uz oba roditelja/skrbnika koji se prema zakonu koji regulira poticanje zapošljavanja smatraju dugotrajno nezaposlenim osobama;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lastRenderedPageBreak/>
        <w:t>– živi uz samohranoga roditelja/skrbnika (roditelj/skrbnik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mu je jedan roditelj/</w:t>
      </w:r>
      <w:proofErr w:type="spellStart"/>
      <w:r w:rsidRPr="003C0318">
        <w:rPr>
          <w:rFonts w:ascii="Arial" w:eastAsia="Times New Roman" w:hAnsi="Arial" w:cs="Arial"/>
          <w:color w:val="414145"/>
          <w:sz w:val="21"/>
          <w:szCs w:val="21"/>
          <w:lang w:eastAsia="hr-HR"/>
        </w:rPr>
        <w:t>skrbnikpreminuo</w:t>
      </w:r>
      <w:proofErr w:type="spellEnd"/>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Za ostvarenje prava iz stavka 2. ovoga članka kandidat prilaže: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liječničku potvrdu o dugotrajnoj težoj bolesti jednoga i/ili oba roditelja/skrbnika;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potvrdu nadležnoga područnoga ureda Hrvatskoga zavoda za zapošljavanje o dugotrajnoj nezaposlenosti oba roditelja/skrbnika;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potvrdu o korištenju socijalne pomoći; rješenje ili drugi upravni akt centra za socijalnu skrb ili nadležnoga tijela u jedinici lokalne ili područne (regionalne) jedinice i Grada Zagreba o pravu samohranoga roditelja/skrbnika u statusu socijalne skrbi izdanih od ovlaštenih službi u zdravstvu, socijalnoj skrbi i za zapošljavanje;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ispravu iz matice umrlih ili smrtni list koje je izdalo nadležno tijelo u jedinici lokalne ili područne (regionalne) jedinice ili Grada Zagreba.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proofErr w:type="spellStart"/>
      <w:r w:rsidRPr="003C0318">
        <w:rPr>
          <w:rFonts w:ascii="Arial" w:eastAsia="Times New Roman" w:hAnsi="Arial" w:cs="Arial"/>
          <w:color w:val="414145"/>
          <w:sz w:val="21"/>
          <w:szCs w:val="21"/>
          <w:lang w:eastAsia="hr-HR"/>
        </w:rPr>
        <w:t>V.a</w:t>
      </w:r>
      <w:proofErr w:type="spellEnd"/>
      <w:r w:rsidRPr="003C0318">
        <w:rPr>
          <w:rFonts w:ascii="Arial" w:eastAsia="Times New Roman" w:hAnsi="Arial" w:cs="Arial"/>
          <w:color w:val="414145"/>
          <w:sz w:val="21"/>
          <w:szCs w:val="21"/>
          <w:lang w:eastAsia="hr-HR"/>
        </w:rPr>
        <w:t xml:space="preserve"> VREDNOVANJE KANDIDATA PRIPADNIKA ROMSKE NACIONALNE MANJINE I KANDIDATA BEZ RODITELJSKE SKRBI«</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21. (NN </w:t>
      </w:r>
      <w:hyperlink r:id="rId20"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Kandidatu koji je pripadnik romske nacionalne manjine, a upisuje se na temelju Nacionalnog plana za uključivanje Roma za razdoblje od 2021. do 2027. godine dodaju se dva boda na broj bodova koji je utvrđen tijekom postupka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Kandidatu koji je dijete bez roditelja/skrbnika ili odgovarajuće roditeljske skrbi prema zakonu koji uređuje socijalnu skrb dodaje se jedan bod na broj bodova koji je utvrđen tijekom postupka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Za ostvarivanje dodatnih bodova iz stavka 1. ovoga članka kandidat prilaže potvrdu o pripadnosti romskoj nacionalnoj manjini (rodni list učenika ili rodni list jednog od roditelja/skrbnika ili izvadak iz popisa birača za roditelja/skrbnika)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Za ostvarivanje dodatnih bodova iz stavka 2. ovoga članka kandidat prilaže potvrdu nadležnog centra za socijalnu skrb da je kandidat dijete bez roditelja/skrbnika ili odgovarajuće roditeljske skrbi.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Neovisno o tomu ispunjava li uvjete za ostvarivanje više prava, kandidatu će se priznati ostvarivanje isključivo jednoga prava od prava propisanih stavcima 1. i 2. ovoga članka, koje je za njega najpovoljnije.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22. (NN </w:t>
      </w:r>
      <w:hyperlink r:id="rId21" w:history="1">
        <w:r w:rsidRPr="003C0318">
          <w:rPr>
            <w:rFonts w:ascii="Arial" w:eastAsia="Times New Roman" w:hAnsi="Arial" w:cs="Arial"/>
            <w:b/>
            <w:bCs/>
            <w:color w:val="497FD7"/>
            <w:sz w:val="21"/>
            <w:szCs w:val="21"/>
            <w:lang w:eastAsia="hr-HR"/>
          </w:rPr>
          <w:t>109/16</w:t>
        </w:r>
      </w:hyperlink>
      <w:r w:rsidRPr="003C0318">
        <w:rPr>
          <w:rFonts w:ascii="Arial" w:eastAsia="Times New Roman" w:hAnsi="Arial" w:cs="Arial"/>
          <w:color w:val="414145"/>
          <w:sz w:val="21"/>
          <w:szCs w:val="21"/>
          <w:lang w:eastAsia="hr-HR"/>
        </w:rPr>
        <w:t>, </w:t>
      </w:r>
      <w:hyperlink r:id="rId22" w:history="1">
        <w:r w:rsidRPr="003C0318">
          <w:rPr>
            <w:rFonts w:ascii="Arial" w:eastAsia="Times New Roman" w:hAnsi="Arial" w:cs="Arial"/>
            <w:b/>
            <w:bCs/>
            <w:color w:val="497FD7"/>
            <w:sz w:val="21"/>
            <w:szCs w:val="21"/>
            <w:lang w:eastAsia="hr-HR"/>
          </w:rPr>
          <w:t>47/17</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Brisan.</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VI. VREDNOVANJE USPJEHA KANDIDATA S TEŠKOĆAMA U RAZVOJU ODNOSNO TEŽIM ZDRAVSTVENIM TEŠKOĆAMA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23. (NN </w:t>
      </w:r>
      <w:hyperlink r:id="rId23"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Kandidati iz stavka 1. ovoga članka mora zadovoljiti na ispitu sposobnosti i darovitosti u školama u kojima je to uvjet za upis.</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Za ostvarenje prava iz stavka 2. ovoga članka kandidat obvezno prilaže: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rješenje Ureda o primjerenom programu obrazovanja;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lastRenderedPageBreak/>
        <w:t>– stručno mišljenje Službe za profesionalno usmjeravanje Hrvatskoga zavoda za zapošljavanje o sposobnostima i motivaciji učenika za, u pravilu šest, a najmanje tri srednjoškolska programa obrazovanja sukladno određenom primjerenom programu obrazovanja u rješenju izdanoga na temelju stručnog mišljenja nadležnoga školskog liječnika koji je pratio kandidata tijekom prethodnog obrazovanja, a na temelju prethodno dostavljene specijalističke medicinske dokumentacije o težim zdravstvenim teškoćama koje su utjecale na postizanje rezultata tijekom prethodnog obrazovanja i/ili mu značajno sužavaju mogući izbor programa obrazovanja i zanimanja, prema stručno usuglašenoj metodologiji te obrade multidisciplinarnog tima Hrvatskoga zavoda za zapošljavanje.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VII. ZDRAVSTVENA SPOSOBNOST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24. (NN </w:t>
      </w:r>
      <w:hyperlink r:id="rId24" w:history="1">
        <w:r w:rsidRPr="003C0318">
          <w:rPr>
            <w:rFonts w:ascii="Arial" w:eastAsia="Times New Roman" w:hAnsi="Arial" w:cs="Arial"/>
            <w:b/>
            <w:bCs/>
            <w:color w:val="497FD7"/>
            <w:sz w:val="21"/>
            <w:szCs w:val="21"/>
            <w:lang w:eastAsia="hr-HR"/>
          </w:rPr>
          <w:t>47/17</w:t>
        </w:r>
      </w:hyperlink>
      <w:r w:rsidRPr="003C0318">
        <w:rPr>
          <w:rFonts w:ascii="Arial" w:eastAsia="Times New Roman" w:hAnsi="Arial" w:cs="Arial"/>
          <w:color w:val="414145"/>
          <w:sz w:val="21"/>
          <w:szCs w:val="21"/>
          <w:lang w:eastAsia="hr-HR"/>
        </w:rPr>
        <w:t>, </w:t>
      </w:r>
      <w:hyperlink r:id="rId25"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Iznimno, kandidat koji u trenutku upisa nije u mogućnosti dostaviti liječničku svjedodžbu medicine rada, pri upisu dostavlja potvrdu obiteljskog liječnika, a liječničku svjedodžbu medicine rada dostavlja školi najkasnije do 30. rujna tekuće školske godine.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VIII. POSEBNA MJERILA I POSTUPCI ZA UPIS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25. (NN </w:t>
      </w:r>
      <w:hyperlink r:id="rId26" w:history="1">
        <w:r w:rsidRPr="003C0318">
          <w:rPr>
            <w:rFonts w:ascii="Arial" w:eastAsia="Times New Roman" w:hAnsi="Arial" w:cs="Arial"/>
            <w:b/>
            <w:bCs/>
            <w:color w:val="497FD7"/>
            <w:sz w:val="21"/>
            <w:szCs w:val="21"/>
            <w:lang w:eastAsia="hr-HR"/>
          </w:rPr>
          <w:t>47/17</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Brisan.</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Vrednovanje uspjeha kandidata za upis u programe obrazovanja za vezane obrte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26. (NN </w:t>
      </w:r>
      <w:hyperlink r:id="rId27" w:history="1">
        <w:r w:rsidRPr="003C0318">
          <w:rPr>
            <w:rFonts w:ascii="Arial" w:eastAsia="Times New Roman" w:hAnsi="Arial" w:cs="Arial"/>
            <w:b/>
            <w:bCs/>
            <w:color w:val="497FD7"/>
            <w:sz w:val="21"/>
            <w:szCs w:val="21"/>
            <w:lang w:eastAsia="hr-HR"/>
          </w:rPr>
          <w:t>47/17</w:t>
        </w:r>
      </w:hyperlink>
      <w:r w:rsidRPr="003C0318">
        <w:rPr>
          <w:rFonts w:ascii="Arial" w:eastAsia="Times New Roman" w:hAnsi="Arial" w:cs="Arial"/>
          <w:color w:val="414145"/>
          <w:sz w:val="21"/>
          <w:szCs w:val="21"/>
          <w:lang w:eastAsia="hr-HR"/>
        </w:rPr>
        <w:t>, </w:t>
      </w:r>
      <w:hyperlink r:id="rId28"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Kandidat koji upisuje program obrazovanja za vezane obrte dužan je, pri upisu ili najkasnije do 30. rujna tekuće školske godine, dostaviti školi liječničku svjedodžbu medicine rada i sklopljen ugovor o naukovanju.</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 Obveza je škole da popise slobodnih mjesta za praktičnu nastavu i vježbe naukovanja istakne na oglasnoj ploči i mrežnoj stranici škole.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Ugovor o naukovanju sklapaju obrtnik ili pravna osoba koji imaju dozvolu (licenciju) za izvođenje naukovanja i kandidat (roditelj ili skrbnik kandidata), u skladu sa zakonom koji uređuje obavljanje obrta, a prilikom sklapanja ugovora kandidat donosi na uvid:</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ovjerenu presliku svjedodžbe završnoga razreda osnovnog obrazovanja;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liječničku svjedodžbu medicine rada.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(4) Ugovor o naukovanju sklapa se u četiri istovjetna primjerka od kojih po jedan pripada svakoj ugovornoj strani, nadležnoj ustanovi za strukovno obrazovanje te nadležnoj područnoj obrtničkoj komori.</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(5) Evidenciju i verifikaciju ugovora o naukovanju vodi Hrvatska obrtnička komora.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(6) Licencirani obrtnik ili pravna osoba može sklopiti onoliki broj ugovora koliko ima slobodnih mjesta za izvođenje praktične nastave i vježbi naukovanja sukladno dozvoli (licenciji) koju posjeduje.</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IX. PROVEDBA DODATNIH PROVJERA SKLONOSTI I SPOSOBNOSTI KANDIDATA</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27.</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Škola koja upisuje kandidata u programe obrazovanja za koje je potrebna određena tjelesna, glasovna i slična spretnost ili sposobnost mogu provoditi provjeru sklonosti i sposobnosti kandidata za taj program obrazovanja.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Na temelju provjera iz stavka 1. ovoga članka kandidat može ostvariti ocjenu »položio« ili »nije položio«.</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X. MINIMALNI BODOVNI PRAG</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lastRenderedPageBreak/>
        <w:t>Članak 28. (NN </w:t>
      </w:r>
      <w:hyperlink r:id="rId29"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(1) Za programe obrazovanja u trajanju od najmanje četiri godine, škola može utvrditi minimalni broj bodova potrebnih za prijavu kandidata za upis u pojedini program obrazovanja, a koji se odnosi isključivo na zajednički element vrednovanja.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(2) Utvrđeni minimalni broj bodova iz stavka 1. ovoga članka primjenjuje se tijekom cijeloga upisnog postupka za sve kandidate, osim za kandidate iz članka 16. ovoga Pravilnika koji imaju pravo izravnog upisa.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29. (NN </w:t>
      </w:r>
      <w:hyperlink r:id="rId30" w:history="1">
        <w:r w:rsidRPr="003C0318">
          <w:rPr>
            <w:rFonts w:ascii="Arial" w:eastAsia="Times New Roman" w:hAnsi="Arial" w:cs="Arial"/>
            <w:b/>
            <w:bCs/>
            <w:color w:val="497FD7"/>
            <w:sz w:val="21"/>
            <w:szCs w:val="21"/>
            <w:lang w:eastAsia="hr-HR"/>
          </w:rPr>
          <w:t>39/22</w:t>
        </w:r>
      </w:hyperlink>
      <w:r w:rsidRPr="003C0318">
        <w:rPr>
          <w:rFonts w:ascii="Arial" w:eastAsia="Times New Roman" w:hAnsi="Arial" w:cs="Arial"/>
          <w:color w:val="414145"/>
          <w:sz w:val="21"/>
          <w:szCs w:val="21"/>
          <w:lang w:eastAsia="hr-HR"/>
        </w:rPr>
        <w:t>)</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Brisan.</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XII. PRIJELAZNE I ZAVRŠNE ODREDBE</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30.</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Ovaj pravilnik stupa na snagu osmoga dana od dana objave u »Narodnim novinama«, osim odredbe članka 9. ovoga pravilnika koja stupa na snagu u trenutku započinjanja postupaka za upis u školsku godinu 2016./2017.</w:t>
      </w:r>
    </w:p>
    <w:p w:rsidR="003C0318" w:rsidRPr="003C0318" w:rsidRDefault="003C0318" w:rsidP="003C0318">
      <w:pPr>
        <w:spacing w:before="150" w:after="150" w:line="336" w:lineRule="atLeast"/>
        <w:jc w:val="center"/>
        <w:outlineLvl w:val="4"/>
        <w:rPr>
          <w:rFonts w:ascii="Arial" w:eastAsia="Times New Roman" w:hAnsi="Arial" w:cs="Arial"/>
          <w:b/>
          <w:bCs/>
          <w:color w:val="414145"/>
          <w:sz w:val="20"/>
          <w:szCs w:val="20"/>
          <w:lang w:eastAsia="hr-HR"/>
        </w:rPr>
      </w:pPr>
      <w:r w:rsidRPr="003C0318">
        <w:rPr>
          <w:rFonts w:ascii="Arial" w:eastAsia="Times New Roman" w:hAnsi="Arial" w:cs="Arial"/>
          <w:b/>
          <w:bCs/>
          <w:color w:val="414145"/>
          <w:sz w:val="20"/>
          <w:szCs w:val="20"/>
          <w:lang w:eastAsia="hr-HR"/>
        </w:rPr>
        <w:t>Prijelazne i završne odredbe iz NN 47/17</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5.</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Ovaj pravilnik stupa na snagu osmoga dana od dana objave u »Narodnim novinama«.</w:t>
      </w:r>
    </w:p>
    <w:p w:rsidR="003C0318" w:rsidRPr="003C0318" w:rsidRDefault="003C0318" w:rsidP="003C0318">
      <w:pPr>
        <w:spacing w:before="150" w:after="150" w:line="336" w:lineRule="atLeast"/>
        <w:jc w:val="center"/>
        <w:outlineLvl w:val="4"/>
        <w:rPr>
          <w:rFonts w:ascii="Arial" w:eastAsia="Times New Roman" w:hAnsi="Arial" w:cs="Arial"/>
          <w:b/>
          <w:bCs/>
          <w:color w:val="414145"/>
          <w:sz w:val="20"/>
          <w:szCs w:val="20"/>
          <w:lang w:eastAsia="hr-HR"/>
        </w:rPr>
      </w:pPr>
      <w:r w:rsidRPr="003C0318">
        <w:rPr>
          <w:rFonts w:ascii="Arial" w:eastAsia="Times New Roman" w:hAnsi="Arial" w:cs="Arial"/>
          <w:b/>
          <w:bCs/>
          <w:color w:val="414145"/>
          <w:sz w:val="20"/>
          <w:szCs w:val="20"/>
          <w:lang w:eastAsia="hr-HR"/>
        </w:rPr>
        <w:t>Prijelazne i završne odredbe iz NN 39/22</w:t>
      </w:r>
    </w:p>
    <w:p w:rsidR="003C0318" w:rsidRPr="003C0318" w:rsidRDefault="003C0318" w:rsidP="003C0318">
      <w:pPr>
        <w:spacing w:after="0"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23.</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Iznimno od članka 9. stavka 4. ovoga Pravilnika, u tekućoj školskoj godini 2021./2022. zahtjev za suglasnost za provedbu provjere posebnih znanja za upis u školsku godinu 2022./2023. srednje škole mogu dostaviti Ministarstvu najkasnije do 15. travnja 2022. godine.</w:t>
      </w:r>
    </w:p>
    <w:p w:rsidR="003C0318" w:rsidRPr="003C0318" w:rsidRDefault="003C0318" w:rsidP="003C0318">
      <w:pPr>
        <w:spacing w:after="0"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Članak 24.</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Ovaj Pravilnik stupa na snagu osmoga dana od dana objave u »Narodnim novinama«.</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w:t>
      </w:r>
    </w:p>
    <w:p w:rsidR="003C0318" w:rsidRPr="003C0318" w:rsidRDefault="003C0318" w:rsidP="003C0318">
      <w:pPr>
        <w:spacing w:after="135" w:line="240" w:lineRule="auto"/>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POPIS PREDMETA POSEBNO VAŽNIH ZA UPIS </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w:t>
      </w:r>
    </w:p>
    <w:p w:rsidR="003C0318" w:rsidRPr="003C0318" w:rsidRDefault="003C0318" w:rsidP="003C0318">
      <w:pPr>
        <w:spacing w:after="135" w:line="240" w:lineRule="auto"/>
        <w:jc w:val="center"/>
        <w:rPr>
          <w:rFonts w:ascii="Arial" w:eastAsia="Times New Roman" w:hAnsi="Arial" w:cs="Arial"/>
          <w:color w:val="414145"/>
          <w:sz w:val="21"/>
          <w:szCs w:val="21"/>
          <w:lang w:eastAsia="hr-HR"/>
        </w:rPr>
      </w:pPr>
      <w:r w:rsidRPr="003C0318">
        <w:rPr>
          <w:rFonts w:ascii="Arial" w:eastAsia="Times New Roman" w:hAnsi="Arial" w:cs="Arial"/>
          <w:color w:val="414145"/>
          <w:sz w:val="21"/>
          <w:szCs w:val="21"/>
          <w:lang w:eastAsia="hr-HR"/>
        </w:rPr>
        <w:t> </w:t>
      </w:r>
    </w:p>
    <w:tbl>
      <w:tblPr>
        <w:tblW w:w="10660" w:type="dxa"/>
        <w:tblCellMar>
          <w:top w:w="15" w:type="dxa"/>
          <w:left w:w="15" w:type="dxa"/>
          <w:bottom w:w="15" w:type="dxa"/>
          <w:right w:w="15" w:type="dxa"/>
        </w:tblCellMar>
        <w:tblLook w:val="04A0" w:firstRow="1" w:lastRow="0" w:firstColumn="1" w:lastColumn="0" w:noHBand="0" w:noVBand="1"/>
      </w:tblPr>
      <w:tblGrid>
        <w:gridCol w:w="2754"/>
        <w:gridCol w:w="3589"/>
        <w:gridCol w:w="1122"/>
        <w:gridCol w:w="1372"/>
        <w:gridCol w:w="1823"/>
      </w:tblGrid>
      <w:tr w:rsidR="003C0318" w:rsidRPr="003C0318" w:rsidTr="003C0318">
        <w:tc>
          <w:tcPr>
            <w:tcW w:w="2498"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Obrazovni sektor</w:t>
            </w:r>
          </w:p>
        </w:tc>
        <w:tc>
          <w:tcPr>
            <w:tcW w:w="372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Strukovno područje/Program</w:t>
            </w:r>
          </w:p>
        </w:tc>
        <w:tc>
          <w:tcPr>
            <w:tcW w:w="96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Trajanje u godinama</w:t>
            </w:r>
          </w:p>
        </w:tc>
        <w:tc>
          <w:tcPr>
            <w:tcW w:w="1542"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Predmet 1</w:t>
            </w:r>
          </w:p>
        </w:tc>
        <w:tc>
          <w:tcPr>
            <w:tcW w:w="1467" w:type="dxa"/>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Predmet 2</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Ekonomija, trgovina i poslovna administracija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Geografija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Elektrotehnika i računalstvo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Ekološki tehničar</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Geološki tehničar</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Kemijski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Kemija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Geologija, rudarstvo, nafta i kemijska tehnologija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Naftno-rudarski tehničar</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lastRenderedPageBreak/>
              <w:t>Rudarski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Kemija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Graditeljstvo i geodezija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Grafička tehnologija i audio-vizualno oblikovanje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Likovna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Klasična gimnazija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Opća gimnazija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Jezična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Geografija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Klasična gimnazija – učenici koji nastavljaju učenje klasičnih jezika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Latinski jezik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Povijest</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Prirodoslovna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Prirodoslovno-matematička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Fizika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Umjetnička gimnazija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Likovna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za očnu optiku</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zaštite osoba i imovine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Osobne, usluge zaštite i druge usluge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Kozmetičar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proofErr w:type="spellStart"/>
            <w:r w:rsidRPr="003C0318">
              <w:rPr>
                <w:rFonts w:ascii="Minion Pro" w:eastAsia="Times New Roman" w:hAnsi="Minion Pro" w:cs="Times New Roman"/>
                <w:color w:val="231F20"/>
                <w:lang w:eastAsia="hr-HR"/>
              </w:rPr>
              <w:t>Agroturistički</w:t>
            </w:r>
            <w:proofErr w:type="spellEnd"/>
            <w:r w:rsidRPr="003C0318">
              <w:rPr>
                <w:rFonts w:ascii="Minion Pro" w:eastAsia="Times New Roman" w:hAnsi="Minion Pro" w:cs="Times New Roman"/>
                <w:color w:val="231F20"/>
                <w:lang w:eastAsia="hr-HR"/>
              </w:rPr>
              <w:t xml:space="preserve">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Geografija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 xml:space="preserve">Poljoprivredni tehničar – </w:t>
            </w:r>
            <w:proofErr w:type="spellStart"/>
            <w:r w:rsidRPr="003C0318">
              <w:rPr>
                <w:rFonts w:ascii="Minion Pro" w:eastAsia="Times New Roman" w:hAnsi="Minion Pro" w:cs="Times New Roman"/>
                <w:lang w:eastAsia="hr-HR"/>
              </w:rPr>
              <w:t>fitofarmaceut</w:t>
            </w:r>
            <w:proofErr w:type="spellEnd"/>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Agrotehničar</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Mljekarski tehničar</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Prehrambeni tehničar</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nutricionist</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Veterinarski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Kemija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Poljoprivreda, prehrana i veterina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Poljoprivredni tehničar – vrtlar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Ribarsko-nautički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Geografija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cestovnog prometa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za logistiku i špediciju</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za poštanske i financijske usluge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lastRenderedPageBreak/>
              <w:t>Tehničar vuče – strojovođa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za željeznički promet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Nautičar unutarnje plovidbe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Pomorski nautičar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Geografija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Promet i logistika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unutarnjeg transporta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Tehničar za jahte i marine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Zrakoplovni prometnik</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Geografija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Strojarstvo, brodogradnja i metalurgija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Drvodjeljski tehničar – restaurator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Likovna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Drvodjeljski tehničar dizajner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Fizika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Likovna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Meteorološki tehničar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Fizika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Šumarstvo, prerada i obrada drva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Tehničar zaštite prirode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Tekstil i koža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Turizam i ugostiteljstvo</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Povijest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Geografija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Dizajner tekstila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Likovna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Glazbenik – instrument</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Glazbenik – teorijski smjer</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Glazbena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Graditelj i restaurator glazbala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Glazbena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Umjetnost – glazbena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Glazbenik saksofonist popularne i jazz glazbe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Glazbenik bubnjar i udaraljkaš popularne i jazz glazbe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Glazbenik gitarist popularne i jazz glazbe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Glazbenik bas gitarist popularne i jazz glazbe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 xml:space="preserve">Glazbenik </w:t>
            </w:r>
            <w:proofErr w:type="spellStart"/>
            <w:r w:rsidRPr="003C0318">
              <w:rPr>
                <w:rFonts w:ascii="Minion Pro" w:eastAsia="Times New Roman" w:hAnsi="Minion Pro" w:cs="Times New Roman"/>
                <w:lang w:eastAsia="hr-HR"/>
              </w:rPr>
              <w:t>kontrabasist</w:t>
            </w:r>
            <w:proofErr w:type="spellEnd"/>
            <w:r w:rsidRPr="003C0318">
              <w:rPr>
                <w:rFonts w:ascii="Minion Pro" w:eastAsia="Times New Roman" w:hAnsi="Minion Pro" w:cs="Times New Roman"/>
                <w:lang w:eastAsia="hr-HR"/>
              </w:rPr>
              <w:t xml:space="preserve"> popularne i jazz glazbe</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lastRenderedPageBreak/>
              <w:t>Glazbenik pjevač popularne i jazz glazbe</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lastRenderedPageBreak/>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Glazbena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Umjetnost – likovna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Likovna umjetnost i dizajn</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Likovna kultura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Tehnička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Umjetnost – plesna umjetnost</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Plesač klasičnog baleta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Plesač narodnih plesova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Plesač suvremenog plesa</w:t>
            </w:r>
          </w:p>
          <w:p w:rsidR="003C0318" w:rsidRPr="003C0318" w:rsidRDefault="003C0318" w:rsidP="003C0318">
            <w:pPr>
              <w:spacing w:after="135" w:line="240" w:lineRule="auto"/>
              <w:rPr>
                <w:rFonts w:ascii="Minion Pro" w:eastAsia="Times New Roman" w:hAnsi="Minion Pro" w:cs="Times New Roman"/>
                <w:lang w:eastAsia="hr-HR"/>
              </w:rPr>
            </w:pPr>
            <w:r w:rsidRPr="003C0318">
              <w:rPr>
                <w:rFonts w:ascii="Minion Pro" w:eastAsia="Times New Roman" w:hAnsi="Minion Pro" w:cs="Times New Roman"/>
                <w:lang w:eastAsia="hr-HR"/>
              </w:rPr>
              <w:t>Scenski plesač</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4</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Times New Roman" w:eastAsia="Times New Roman" w:hAnsi="Times New Roman" w:cs="Times New Roman"/>
                <w:color w:val="231F20"/>
                <w:lang w:eastAsia="hr-HR"/>
              </w:rPr>
            </w:pPr>
            <w:r w:rsidRPr="003C0318">
              <w:rPr>
                <w:rFonts w:ascii="Times New Roman" w:eastAsia="Times New Roman" w:hAnsi="Times New Roman" w:cs="Times New Roman"/>
                <w:color w:val="231F20"/>
                <w:lang w:eastAsia="hr-HR"/>
              </w:rPr>
              <w:t>Tjelesna i zdravstvena kultura</w:t>
            </w:r>
          </w:p>
        </w:tc>
      </w:tr>
      <w:tr w:rsidR="003C0318" w:rsidRPr="003C0318" w:rsidTr="003C0318">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Zdravstvo i socijalna skrb</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 </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jc w:val="center"/>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4 i 5</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Biologija</w:t>
            </w:r>
          </w:p>
        </w:tc>
        <w:tc>
          <w:tcPr>
            <w:tcW w:w="0" w:type="auto"/>
            <w:tcBorders>
              <w:top w:val="single" w:sz="6" w:space="0" w:color="999999"/>
              <w:left w:val="single" w:sz="6" w:space="0" w:color="999999"/>
              <w:bottom w:val="single" w:sz="6" w:space="0" w:color="999999"/>
              <w:right w:val="single" w:sz="6" w:space="0" w:color="999999"/>
            </w:tcBorders>
            <w:tcMar>
              <w:top w:w="96" w:type="dxa"/>
              <w:left w:w="96" w:type="dxa"/>
              <w:bottom w:w="120" w:type="dxa"/>
              <w:right w:w="96" w:type="dxa"/>
            </w:tcMar>
            <w:vAlign w:val="center"/>
            <w:hideMark/>
          </w:tcPr>
          <w:p w:rsidR="003C0318" w:rsidRPr="003C0318" w:rsidRDefault="003C0318" w:rsidP="003C0318">
            <w:pPr>
              <w:spacing w:after="135" w:line="240" w:lineRule="auto"/>
              <w:rPr>
                <w:rFonts w:ascii="Minion Pro" w:eastAsia="Times New Roman" w:hAnsi="Minion Pro" w:cs="Times New Roman"/>
                <w:color w:val="231F20"/>
                <w:lang w:eastAsia="hr-HR"/>
              </w:rPr>
            </w:pPr>
            <w:r w:rsidRPr="003C0318">
              <w:rPr>
                <w:rFonts w:ascii="Minion Pro" w:eastAsia="Times New Roman" w:hAnsi="Minion Pro" w:cs="Times New Roman"/>
                <w:color w:val="231F20"/>
                <w:lang w:eastAsia="hr-HR"/>
              </w:rPr>
              <w:t>Kemija</w:t>
            </w:r>
          </w:p>
        </w:tc>
      </w:tr>
    </w:tbl>
    <w:p w:rsidR="00AE2A6D" w:rsidRDefault="00AE2A6D" w:rsidP="003C0318">
      <w:pPr>
        <w:spacing w:after="120"/>
      </w:pPr>
    </w:p>
    <w:sectPr w:rsidR="00AE2A6D" w:rsidSect="003C0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18"/>
    <w:rsid w:val="002E70C0"/>
    <w:rsid w:val="003C0318"/>
    <w:rsid w:val="00AE2A6D"/>
    <w:rsid w:val="00B0151D"/>
    <w:rsid w:val="00C31454"/>
    <w:rsid w:val="00E10A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2C8BF-4D7E-4289-A7DB-33AB5E99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3C031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5">
    <w:name w:val="heading 5"/>
    <w:basedOn w:val="Normal"/>
    <w:link w:val="Naslov5Char"/>
    <w:uiPriority w:val="9"/>
    <w:qFormat/>
    <w:rsid w:val="003C0318"/>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C0318"/>
    <w:rPr>
      <w:rFonts w:ascii="Times New Roman" w:eastAsia="Times New Roman" w:hAnsi="Times New Roman" w:cs="Times New Roman"/>
      <w:b/>
      <w:bCs/>
      <w:sz w:val="27"/>
      <w:szCs w:val="27"/>
      <w:lang w:eastAsia="hr-HR"/>
    </w:rPr>
  </w:style>
  <w:style w:type="character" w:customStyle="1" w:styleId="Naslov5Char">
    <w:name w:val="Naslov 5 Char"/>
    <w:basedOn w:val="Zadanifontodlomka"/>
    <w:link w:val="Naslov5"/>
    <w:uiPriority w:val="9"/>
    <w:rsid w:val="003C0318"/>
    <w:rPr>
      <w:rFonts w:ascii="Times New Roman" w:eastAsia="Times New Roman" w:hAnsi="Times New Roman" w:cs="Times New Roman"/>
      <w:b/>
      <w:bCs/>
      <w:sz w:val="20"/>
      <w:szCs w:val="20"/>
      <w:lang w:eastAsia="hr-HR"/>
    </w:rPr>
  </w:style>
  <w:style w:type="paragraph" w:styleId="StandardWeb">
    <w:name w:val="Normal (Web)"/>
    <w:basedOn w:val="Normal"/>
    <w:uiPriority w:val="99"/>
    <w:semiHidden/>
    <w:unhideWhenUsed/>
    <w:rsid w:val="003C031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3C0318"/>
    <w:rPr>
      <w:color w:val="0000FF"/>
      <w:u w:val="single"/>
    </w:rPr>
  </w:style>
  <w:style w:type="paragraph" w:customStyle="1" w:styleId="box470897">
    <w:name w:val="box_470897"/>
    <w:basedOn w:val="Normal"/>
    <w:rsid w:val="003C03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
    <w:name w:val="t-9"/>
    <w:basedOn w:val="Normal"/>
    <w:rsid w:val="003C03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90069">
      <w:bodyDiv w:val="1"/>
      <w:marLeft w:val="0"/>
      <w:marRight w:val="0"/>
      <w:marTop w:val="0"/>
      <w:marBottom w:val="0"/>
      <w:divBdr>
        <w:top w:val="none" w:sz="0" w:space="0" w:color="auto"/>
        <w:left w:val="none" w:sz="0" w:space="0" w:color="auto"/>
        <w:bottom w:val="none" w:sz="0" w:space="0" w:color="auto"/>
        <w:right w:val="none" w:sz="0" w:space="0" w:color="auto"/>
      </w:divBdr>
      <w:divsChild>
        <w:div w:id="2106918103">
          <w:marLeft w:val="0"/>
          <w:marRight w:val="0"/>
          <w:marTop w:val="0"/>
          <w:marBottom w:val="0"/>
          <w:divBdr>
            <w:top w:val="none" w:sz="0" w:space="0" w:color="auto"/>
            <w:left w:val="none" w:sz="0" w:space="0" w:color="auto"/>
            <w:bottom w:val="none" w:sz="0" w:space="0" w:color="auto"/>
            <w:right w:val="none" w:sz="0" w:space="0" w:color="auto"/>
          </w:divBdr>
          <w:divsChild>
            <w:div w:id="1184051877">
              <w:marLeft w:val="0"/>
              <w:marRight w:val="0"/>
              <w:marTop w:val="0"/>
              <w:marBottom w:val="0"/>
              <w:divBdr>
                <w:top w:val="none" w:sz="0" w:space="0" w:color="auto"/>
                <w:left w:val="none" w:sz="0" w:space="0" w:color="auto"/>
                <w:bottom w:val="none" w:sz="0" w:space="0" w:color="auto"/>
                <w:right w:val="none" w:sz="0" w:space="0" w:color="auto"/>
              </w:divBdr>
              <w:divsChild>
                <w:div w:id="836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3839">
          <w:marLeft w:val="0"/>
          <w:marRight w:val="0"/>
          <w:marTop w:val="0"/>
          <w:marBottom w:val="0"/>
          <w:divBdr>
            <w:top w:val="none" w:sz="0" w:space="0" w:color="auto"/>
            <w:left w:val="none" w:sz="0" w:space="0" w:color="auto"/>
            <w:bottom w:val="none" w:sz="0" w:space="0" w:color="auto"/>
            <w:right w:val="none" w:sz="0" w:space="0" w:color="auto"/>
          </w:divBdr>
          <w:divsChild>
            <w:div w:id="1928884499">
              <w:marLeft w:val="0"/>
              <w:marRight w:val="0"/>
              <w:marTop w:val="0"/>
              <w:marBottom w:val="0"/>
              <w:divBdr>
                <w:top w:val="none" w:sz="0" w:space="0" w:color="auto"/>
                <w:left w:val="none" w:sz="0" w:space="0" w:color="auto"/>
                <w:bottom w:val="none" w:sz="0" w:space="0" w:color="auto"/>
                <w:right w:val="none" w:sz="0" w:space="0" w:color="auto"/>
              </w:divBdr>
              <w:divsChild>
                <w:div w:id="19911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8308">
          <w:marLeft w:val="0"/>
          <w:marRight w:val="0"/>
          <w:marTop w:val="0"/>
          <w:marBottom w:val="0"/>
          <w:divBdr>
            <w:top w:val="none" w:sz="0" w:space="0" w:color="auto"/>
            <w:left w:val="none" w:sz="0" w:space="0" w:color="auto"/>
            <w:bottom w:val="none" w:sz="0" w:space="0" w:color="auto"/>
            <w:right w:val="none" w:sz="0" w:space="0" w:color="auto"/>
          </w:divBdr>
          <w:divsChild>
            <w:div w:id="1884706951">
              <w:marLeft w:val="0"/>
              <w:marRight w:val="0"/>
              <w:marTop w:val="0"/>
              <w:marBottom w:val="0"/>
              <w:divBdr>
                <w:top w:val="none" w:sz="0" w:space="0" w:color="auto"/>
                <w:left w:val="none" w:sz="0" w:space="0" w:color="auto"/>
                <w:bottom w:val="none" w:sz="0" w:space="0" w:color="auto"/>
                <w:right w:val="none" w:sz="0" w:space="0" w:color="auto"/>
              </w:divBdr>
              <w:divsChild>
                <w:div w:id="4993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147">
          <w:marLeft w:val="0"/>
          <w:marRight w:val="0"/>
          <w:marTop w:val="0"/>
          <w:marBottom w:val="0"/>
          <w:divBdr>
            <w:top w:val="none" w:sz="0" w:space="0" w:color="auto"/>
            <w:left w:val="none" w:sz="0" w:space="0" w:color="auto"/>
            <w:bottom w:val="none" w:sz="0" w:space="0" w:color="auto"/>
            <w:right w:val="none" w:sz="0" w:space="0" w:color="auto"/>
          </w:divBdr>
          <w:divsChild>
            <w:div w:id="1823233995">
              <w:marLeft w:val="0"/>
              <w:marRight w:val="0"/>
              <w:marTop w:val="0"/>
              <w:marBottom w:val="0"/>
              <w:divBdr>
                <w:top w:val="none" w:sz="0" w:space="0" w:color="auto"/>
                <w:left w:val="none" w:sz="0" w:space="0" w:color="auto"/>
                <w:bottom w:val="none" w:sz="0" w:space="0" w:color="auto"/>
                <w:right w:val="none" w:sz="0" w:space="0" w:color="auto"/>
              </w:divBdr>
              <w:divsChild>
                <w:div w:id="8162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52057" TargetMode="External"/><Relationship Id="rId13" Type="http://schemas.openxmlformats.org/officeDocument/2006/relationships/hyperlink" Target="https://www.zakon.hr/cms.htm?id=52057" TargetMode="External"/><Relationship Id="rId18" Type="http://schemas.openxmlformats.org/officeDocument/2006/relationships/hyperlink" Target="https://www.zakon.hr/cms.htm?id=52057" TargetMode="External"/><Relationship Id="rId26" Type="http://schemas.openxmlformats.org/officeDocument/2006/relationships/hyperlink" Target="https://www.zakon.hr/cms.htm?id=19081" TargetMode="External"/><Relationship Id="rId3" Type="http://schemas.openxmlformats.org/officeDocument/2006/relationships/webSettings" Target="webSettings.xml"/><Relationship Id="rId21" Type="http://schemas.openxmlformats.org/officeDocument/2006/relationships/hyperlink" Target="https://www.zakon.hr/cms.htm?id=17861" TargetMode="External"/><Relationship Id="rId7" Type="http://schemas.openxmlformats.org/officeDocument/2006/relationships/hyperlink" Target="https://www.zakon.hr/cms.htm?id=52057" TargetMode="External"/><Relationship Id="rId12" Type="http://schemas.openxmlformats.org/officeDocument/2006/relationships/hyperlink" Target="https://www.zakon.hr/cms.htm?id=52057" TargetMode="External"/><Relationship Id="rId17" Type="http://schemas.openxmlformats.org/officeDocument/2006/relationships/hyperlink" Target="https://www.zakon.hr/cms.htm?id=52057" TargetMode="External"/><Relationship Id="rId25" Type="http://schemas.openxmlformats.org/officeDocument/2006/relationships/hyperlink" Target="https://www.zakon.hr/cms.htm?id=52057"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s://www.zakon.hr/cms.htm?id=52057" TargetMode="External"/><Relationship Id="rId29" Type="http://schemas.openxmlformats.org/officeDocument/2006/relationships/hyperlink" Target="https://www.zakon.hr/cms.htm?id=52057" TargetMode="External"/><Relationship Id="rId1" Type="http://schemas.openxmlformats.org/officeDocument/2006/relationships/styles" Target="styles.xml"/><Relationship Id="rId6" Type="http://schemas.openxmlformats.org/officeDocument/2006/relationships/hyperlink" Target="https://www.zakon.hr/cms.htm?id=19081" TargetMode="External"/><Relationship Id="rId11" Type="http://schemas.openxmlformats.org/officeDocument/2006/relationships/hyperlink" Target="https://www.zakon.hr/cms.htm?id=52057" TargetMode="External"/><Relationship Id="rId24" Type="http://schemas.openxmlformats.org/officeDocument/2006/relationships/hyperlink" Target="https://www.zakon.hr/cms.htm?id=19081" TargetMode="External"/><Relationship Id="rId32" Type="http://schemas.openxmlformats.org/officeDocument/2006/relationships/theme" Target="theme/theme1.xml"/><Relationship Id="rId5" Type="http://schemas.openxmlformats.org/officeDocument/2006/relationships/hyperlink" Target="https://www.zakon.hr/cms.htm?id=17861" TargetMode="External"/><Relationship Id="rId15" Type="http://schemas.openxmlformats.org/officeDocument/2006/relationships/hyperlink" Target="https://www.zakon.hr/cms.htm?id=52057" TargetMode="External"/><Relationship Id="rId23" Type="http://schemas.openxmlformats.org/officeDocument/2006/relationships/hyperlink" Target="https://www.zakon.hr/cms.htm?id=52057" TargetMode="External"/><Relationship Id="rId28" Type="http://schemas.openxmlformats.org/officeDocument/2006/relationships/hyperlink" Target="https://www.zakon.hr/cms.htm?id=52057" TargetMode="External"/><Relationship Id="rId10" Type="http://schemas.openxmlformats.org/officeDocument/2006/relationships/hyperlink" Target="https://www.zakon.hr/cms.htm?id=52057" TargetMode="External"/><Relationship Id="rId19" Type="http://schemas.openxmlformats.org/officeDocument/2006/relationships/hyperlink" Target="https://www.zakon.hr/cms.htm?id=52057" TargetMode="External"/><Relationship Id="rId31" Type="http://schemas.openxmlformats.org/officeDocument/2006/relationships/fontTable" Target="fontTable.xml"/><Relationship Id="rId4" Type="http://schemas.openxmlformats.org/officeDocument/2006/relationships/hyperlink" Target="https://www.zakon.hr/cms.htm?id=11324" TargetMode="External"/><Relationship Id="rId9" Type="http://schemas.openxmlformats.org/officeDocument/2006/relationships/hyperlink" Target="https://www.zakon.hr/cms.htm?id=52057" TargetMode="External"/><Relationship Id="rId14" Type="http://schemas.openxmlformats.org/officeDocument/2006/relationships/hyperlink" Target="https://www.zakon.hr/cms.htm?id=52057" TargetMode="External"/><Relationship Id="rId22" Type="http://schemas.openxmlformats.org/officeDocument/2006/relationships/hyperlink" Target="https://www.zakon.hr/cms.htm?id=19081" TargetMode="External"/><Relationship Id="rId27" Type="http://schemas.openxmlformats.org/officeDocument/2006/relationships/hyperlink" Target="https://www.zakon.hr/cms.htm?id=19081" TargetMode="External"/><Relationship Id="rId30" Type="http://schemas.openxmlformats.org/officeDocument/2006/relationships/hyperlink" Target="https://www.zakon.hr/cms.htm?id=520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5900</Words>
  <Characters>33636</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dc:creator>
  <cp:keywords/>
  <dc:description/>
  <cp:lastModifiedBy>Ankica</cp:lastModifiedBy>
  <cp:revision>3</cp:revision>
  <dcterms:created xsi:type="dcterms:W3CDTF">2023-04-06T10:54:00Z</dcterms:created>
  <dcterms:modified xsi:type="dcterms:W3CDTF">2023-04-12T11:27:00Z</dcterms:modified>
</cp:coreProperties>
</file>